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96" w:rsidRDefault="00E74696" w:rsidP="00D05EA8">
      <w:pPr>
        <w:pStyle w:val="Title"/>
        <w:jc w:val="center"/>
      </w:pPr>
      <w:r w:rsidRPr="00497477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1C014D7" wp14:editId="00EC5B1E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238250" cy="918845"/>
            <wp:effectExtent l="0" t="0" r="0" b="0"/>
            <wp:wrapSquare wrapText="bothSides"/>
            <wp:docPr id="1" name="Picture 1" descr="C:\Users\emily.peterson\Desktop\MAT - Desktop\MAT Logo B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esktop\MAT - Desktop\MAT Logo Best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1E7">
        <w:t xml:space="preserve">MAT </w:t>
      </w:r>
      <w:r>
        <w:t>Bursary</w:t>
      </w:r>
      <w:r>
        <w:rPr>
          <w:sz w:val="28"/>
          <w:szCs w:val="28"/>
        </w:rPr>
        <w:t xml:space="preserve"> </w:t>
      </w:r>
      <w:r w:rsidR="004801E7">
        <w:t>Application</w:t>
      </w:r>
      <w:r w:rsidR="006D627A">
        <w:t xml:space="preserve"> Form</w:t>
      </w:r>
      <w:r w:rsidR="00D05EA8">
        <w:t>: ATSIMA Conference 2018</w:t>
      </w:r>
    </w:p>
    <w:p w:rsidR="006D627A" w:rsidRPr="00D05EA8" w:rsidRDefault="006D627A" w:rsidP="006D627A">
      <w:pPr>
        <w:pStyle w:val="NoSpacing"/>
        <w:rPr>
          <w:sz w:val="8"/>
          <w:szCs w:val="12"/>
        </w:rPr>
      </w:pPr>
    </w:p>
    <w:p w:rsidR="00D05EA8" w:rsidRPr="00D05EA8" w:rsidRDefault="004801E7" w:rsidP="00D05EA8">
      <w:pPr>
        <w:pStyle w:val="NoSpacing"/>
        <w:rPr>
          <w:sz w:val="24"/>
        </w:rPr>
      </w:pPr>
      <w:r w:rsidRPr="00D05EA8">
        <w:rPr>
          <w:sz w:val="24"/>
        </w:rPr>
        <w:t xml:space="preserve">The Mathematical Association of Tasmania (MAT) is offering </w:t>
      </w:r>
      <w:r w:rsidR="00D05EA8" w:rsidRPr="00D05EA8">
        <w:rPr>
          <w:b/>
          <w:sz w:val="24"/>
        </w:rPr>
        <w:t xml:space="preserve">two bursaries </w:t>
      </w:r>
      <w:r w:rsidR="00D05EA8" w:rsidRPr="00D05EA8">
        <w:rPr>
          <w:sz w:val="24"/>
        </w:rPr>
        <w:t>for the</w:t>
      </w:r>
      <w:r w:rsidR="00D05EA8" w:rsidRPr="00D05EA8">
        <w:rPr>
          <w:b/>
          <w:sz w:val="24"/>
        </w:rPr>
        <w:t xml:space="preserve"> Aboriginal and Torres Strait Islander Mathematics Alliance (ATSIMA) Conference 2018</w:t>
      </w:r>
      <w:r w:rsidR="00D05EA8" w:rsidRPr="00D05EA8">
        <w:rPr>
          <w:sz w:val="24"/>
        </w:rPr>
        <w:t xml:space="preserve">. This conference will take place during the </w:t>
      </w:r>
      <w:r w:rsidR="00EF4231">
        <w:rPr>
          <w:sz w:val="24"/>
        </w:rPr>
        <w:t>Tasmanian Term 2 holidays</w:t>
      </w:r>
      <w:r w:rsidR="00D05EA8" w:rsidRPr="00D05EA8">
        <w:rPr>
          <w:sz w:val="24"/>
        </w:rPr>
        <w:t xml:space="preserve"> from</w:t>
      </w:r>
      <w:r w:rsidR="00D05EA8">
        <w:rPr>
          <w:b/>
          <w:sz w:val="24"/>
        </w:rPr>
        <w:t xml:space="preserve"> July 10</w:t>
      </w:r>
      <w:r w:rsidR="00D05EA8" w:rsidRPr="00D05EA8">
        <w:rPr>
          <w:b/>
          <w:sz w:val="24"/>
          <w:vertAlign w:val="superscript"/>
        </w:rPr>
        <w:t>th</w:t>
      </w:r>
      <w:r w:rsidR="00D05EA8">
        <w:rPr>
          <w:b/>
          <w:sz w:val="24"/>
        </w:rPr>
        <w:t xml:space="preserve"> – 13</w:t>
      </w:r>
      <w:r w:rsidR="00D05EA8" w:rsidRPr="00D05EA8">
        <w:rPr>
          <w:b/>
          <w:sz w:val="24"/>
          <w:vertAlign w:val="superscript"/>
        </w:rPr>
        <w:t>th</w:t>
      </w:r>
      <w:r w:rsidR="00D05EA8">
        <w:rPr>
          <w:b/>
          <w:sz w:val="24"/>
        </w:rPr>
        <w:t xml:space="preserve"> 2018</w:t>
      </w:r>
      <w:r w:rsidR="00425F28">
        <w:rPr>
          <w:b/>
          <w:sz w:val="24"/>
        </w:rPr>
        <w:t xml:space="preserve"> in Melbourne</w:t>
      </w:r>
      <w:r w:rsidR="00D05EA8" w:rsidRPr="00D05EA8">
        <w:rPr>
          <w:sz w:val="24"/>
        </w:rPr>
        <w:t xml:space="preserve">. Applicants should familiarise themselves with the draft </w:t>
      </w:r>
      <w:r w:rsidR="00425F28">
        <w:rPr>
          <w:sz w:val="24"/>
        </w:rPr>
        <w:t>conference program</w:t>
      </w:r>
      <w:r w:rsidR="00D05EA8" w:rsidRPr="00D05EA8">
        <w:rPr>
          <w:sz w:val="24"/>
        </w:rPr>
        <w:t xml:space="preserve"> (</w:t>
      </w:r>
      <w:hyperlink r:id="rId6" w:history="1">
        <w:r w:rsidR="00D05EA8" w:rsidRPr="00D05EA8">
          <w:rPr>
            <w:rStyle w:val="Hyperlink"/>
            <w:sz w:val="24"/>
          </w:rPr>
          <w:t>http://atsimanational.ning.com/program2018</w:t>
        </w:r>
      </w:hyperlink>
      <w:r w:rsidR="00D05EA8" w:rsidRPr="00D05EA8">
        <w:rPr>
          <w:sz w:val="24"/>
        </w:rPr>
        <w:t>).</w:t>
      </w:r>
      <w:r w:rsidR="00D05EA8">
        <w:rPr>
          <w:b/>
          <w:sz w:val="24"/>
        </w:rPr>
        <w:t xml:space="preserve"> </w:t>
      </w:r>
      <w:r w:rsidR="00425F28">
        <w:rPr>
          <w:sz w:val="24"/>
        </w:rPr>
        <w:t>B</w:t>
      </w:r>
      <w:r w:rsidR="00D05EA8" w:rsidRPr="00D05EA8">
        <w:rPr>
          <w:sz w:val="24"/>
        </w:rPr>
        <w:t xml:space="preserve">ursaries </w:t>
      </w:r>
      <w:r w:rsidR="00D05EA8">
        <w:rPr>
          <w:sz w:val="24"/>
        </w:rPr>
        <w:t xml:space="preserve">will </w:t>
      </w:r>
      <w:r w:rsidR="00D05EA8" w:rsidRPr="00D05EA8">
        <w:rPr>
          <w:sz w:val="24"/>
        </w:rPr>
        <w:t>cover the</w:t>
      </w:r>
      <w:r w:rsidR="00D05EA8" w:rsidRPr="00D05EA8">
        <w:rPr>
          <w:b/>
          <w:sz w:val="24"/>
        </w:rPr>
        <w:t xml:space="preserve"> $725 </w:t>
      </w:r>
      <w:r w:rsidR="00425F28">
        <w:rPr>
          <w:b/>
          <w:sz w:val="24"/>
        </w:rPr>
        <w:t xml:space="preserve">full </w:t>
      </w:r>
      <w:r w:rsidR="00D05EA8" w:rsidRPr="00D05EA8">
        <w:rPr>
          <w:b/>
          <w:sz w:val="24"/>
        </w:rPr>
        <w:t>conference registration</w:t>
      </w:r>
      <w:r w:rsidR="00D05EA8">
        <w:rPr>
          <w:b/>
          <w:sz w:val="24"/>
        </w:rPr>
        <w:t xml:space="preserve"> </w:t>
      </w:r>
      <w:r w:rsidR="00D05EA8" w:rsidRPr="00D05EA8">
        <w:rPr>
          <w:sz w:val="24"/>
        </w:rPr>
        <w:t>cost</w:t>
      </w:r>
      <w:r w:rsidR="00D05EA8">
        <w:rPr>
          <w:sz w:val="24"/>
        </w:rPr>
        <w:t xml:space="preserve"> for </w:t>
      </w:r>
      <w:r w:rsidR="00EF4231">
        <w:rPr>
          <w:sz w:val="24"/>
        </w:rPr>
        <w:t xml:space="preserve">two </w:t>
      </w:r>
      <w:r w:rsidR="00D05EA8">
        <w:rPr>
          <w:sz w:val="24"/>
        </w:rPr>
        <w:t>s</w:t>
      </w:r>
      <w:r w:rsidR="00D05EA8" w:rsidRPr="00D05EA8">
        <w:rPr>
          <w:sz w:val="24"/>
        </w:rPr>
        <w:t>uccessful applicants</w:t>
      </w:r>
      <w:r w:rsidR="00D05EA8">
        <w:rPr>
          <w:sz w:val="24"/>
        </w:rPr>
        <w:t xml:space="preserve">. Please be aware that the bursaries </w:t>
      </w:r>
      <w:r w:rsidR="00D05EA8" w:rsidRPr="00D05EA8">
        <w:rPr>
          <w:b/>
          <w:sz w:val="24"/>
          <w:u w:val="single"/>
        </w:rPr>
        <w:t>DO NOT</w:t>
      </w:r>
      <w:r w:rsidR="00D05EA8">
        <w:rPr>
          <w:sz w:val="24"/>
        </w:rPr>
        <w:t xml:space="preserve"> cover</w:t>
      </w:r>
      <w:r w:rsidR="00D05EA8" w:rsidRPr="00D05EA8">
        <w:rPr>
          <w:sz w:val="24"/>
        </w:rPr>
        <w:t xml:space="preserve"> flights, transfers</w:t>
      </w:r>
      <w:r w:rsidR="00D05EA8">
        <w:rPr>
          <w:sz w:val="24"/>
        </w:rPr>
        <w:t>, food</w:t>
      </w:r>
      <w:r w:rsidR="00D05EA8" w:rsidRPr="00D05EA8">
        <w:rPr>
          <w:sz w:val="24"/>
        </w:rPr>
        <w:t xml:space="preserve"> and accommodation. </w:t>
      </w:r>
      <w:r w:rsidR="00D05EA8">
        <w:rPr>
          <w:sz w:val="24"/>
        </w:rPr>
        <w:t xml:space="preserve">All </w:t>
      </w:r>
      <w:r w:rsidR="00D05EA8" w:rsidRPr="00D05EA8">
        <w:rPr>
          <w:sz w:val="24"/>
        </w:rPr>
        <w:t>Tasmanian Mathematics teachers who work with Aboriginal and Torres Strait Islander students are invited to apply</w:t>
      </w:r>
      <w:r w:rsidR="00D05EA8">
        <w:rPr>
          <w:sz w:val="24"/>
        </w:rPr>
        <w:t xml:space="preserve"> for these bursaries</w:t>
      </w:r>
      <w:r w:rsidR="00D05EA8" w:rsidRPr="00D05EA8">
        <w:rPr>
          <w:sz w:val="24"/>
        </w:rPr>
        <w:t>.</w:t>
      </w:r>
    </w:p>
    <w:p w:rsidR="00D05EA8" w:rsidRPr="00D05EA8" w:rsidRDefault="00D05EA8" w:rsidP="004801E7">
      <w:pPr>
        <w:pStyle w:val="NoSpacing"/>
        <w:rPr>
          <w:sz w:val="12"/>
          <w:szCs w:val="12"/>
        </w:rPr>
      </w:pPr>
    </w:p>
    <w:p w:rsidR="004801E7" w:rsidRPr="006D627A" w:rsidRDefault="00D05EA8" w:rsidP="004801E7">
      <w:pPr>
        <w:pStyle w:val="NoSpacing"/>
        <w:rPr>
          <w:sz w:val="24"/>
        </w:rPr>
      </w:pPr>
      <w:r>
        <w:rPr>
          <w:sz w:val="24"/>
        </w:rPr>
        <w:t>Judgement of applications will be</w:t>
      </w:r>
      <w:r w:rsidR="004801E7" w:rsidRPr="006D627A">
        <w:rPr>
          <w:sz w:val="24"/>
        </w:rPr>
        <w:t xml:space="preserve"> based on the following criteria:</w:t>
      </w:r>
    </w:p>
    <w:p w:rsidR="004801E7" w:rsidRPr="006D627A" w:rsidRDefault="004801E7" w:rsidP="004801E7">
      <w:pPr>
        <w:pStyle w:val="NoSpacing"/>
        <w:numPr>
          <w:ilvl w:val="0"/>
          <w:numId w:val="1"/>
        </w:numPr>
        <w:rPr>
          <w:sz w:val="24"/>
        </w:rPr>
      </w:pPr>
      <w:r w:rsidRPr="006D627A">
        <w:rPr>
          <w:sz w:val="24"/>
        </w:rPr>
        <w:t>Demonstrated exemplary teaching practice</w:t>
      </w:r>
    </w:p>
    <w:p w:rsidR="004801E7" w:rsidRDefault="004801E7" w:rsidP="004801E7">
      <w:pPr>
        <w:pStyle w:val="NoSpacing"/>
        <w:numPr>
          <w:ilvl w:val="0"/>
          <w:numId w:val="1"/>
        </w:numPr>
        <w:rPr>
          <w:sz w:val="24"/>
        </w:rPr>
      </w:pPr>
      <w:r w:rsidRPr="006D627A">
        <w:rPr>
          <w:sz w:val="24"/>
        </w:rPr>
        <w:t>Demonstrated commitment to the teaching of Mathematics</w:t>
      </w:r>
    </w:p>
    <w:p w:rsidR="00D05EA8" w:rsidRDefault="00D05EA8" w:rsidP="004801E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Demonstrated commitment to advancing educational outcomes for Aboriginal and Torres Strait Islander students</w:t>
      </w:r>
    </w:p>
    <w:p w:rsidR="00425F28" w:rsidRPr="00425F28" w:rsidRDefault="00425F28" w:rsidP="00425F28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Interest in</w:t>
      </w:r>
      <w:r>
        <w:rPr>
          <w:sz w:val="24"/>
        </w:rPr>
        <w:t xml:space="preserve"> attending</w:t>
      </w:r>
      <w:bookmarkStart w:id="0" w:name="_GoBack"/>
      <w:bookmarkEnd w:id="0"/>
      <w:r>
        <w:rPr>
          <w:sz w:val="24"/>
        </w:rPr>
        <w:t xml:space="preserve"> the ATSIMA Conference 2018</w:t>
      </w:r>
    </w:p>
    <w:p w:rsidR="004801E7" w:rsidRDefault="004801E7" w:rsidP="004801E7">
      <w:pPr>
        <w:pStyle w:val="NoSpacing"/>
        <w:numPr>
          <w:ilvl w:val="0"/>
          <w:numId w:val="1"/>
        </w:numPr>
        <w:rPr>
          <w:sz w:val="24"/>
        </w:rPr>
      </w:pPr>
      <w:r w:rsidRPr="006D627A">
        <w:rPr>
          <w:sz w:val="24"/>
        </w:rPr>
        <w:t>Willingness to assist with the development and running of activities that support the teaching of Mathematics</w:t>
      </w:r>
      <w:r w:rsidR="00D05EA8">
        <w:rPr>
          <w:sz w:val="24"/>
        </w:rPr>
        <w:t xml:space="preserve"> (particularly for Aboriginal and Torres Strait Islander students)</w:t>
      </w:r>
      <w:r w:rsidRPr="006D627A">
        <w:rPr>
          <w:sz w:val="24"/>
        </w:rPr>
        <w:t xml:space="preserve"> in Tasmania</w:t>
      </w:r>
    </w:p>
    <w:p w:rsidR="00EF4231" w:rsidRPr="00EF4231" w:rsidRDefault="00EF4231" w:rsidP="00EF4231">
      <w:pPr>
        <w:pStyle w:val="NoSpacing"/>
        <w:rPr>
          <w:sz w:val="12"/>
          <w:szCs w:val="12"/>
        </w:rPr>
      </w:pPr>
    </w:p>
    <w:p w:rsidR="00D05EA8" w:rsidRDefault="00D05EA8" w:rsidP="00D05EA8">
      <w:pPr>
        <w:pStyle w:val="NoSpacing"/>
        <w:rPr>
          <w:sz w:val="24"/>
        </w:rPr>
      </w:pPr>
      <w:r>
        <w:rPr>
          <w:sz w:val="24"/>
        </w:rPr>
        <w:t xml:space="preserve">Successful applicants will be expected to present a </w:t>
      </w:r>
      <w:r w:rsidRPr="00D05EA8">
        <w:rPr>
          <w:b/>
          <w:sz w:val="24"/>
        </w:rPr>
        <w:t>conference report</w:t>
      </w:r>
      <w:r>
        <w:rPr>
          <w:sz w:val="24"/>
        </w:rPr>
        <w:t xml:space="preserve"> (can be a brief verbal summary) to MAT’s executive committee at the meeting following the conference (July 26</w:t>
      </w:r>
      <w:r w:rsidRPr="00D05EA8">
        <w:rPr>
          <w:sz w:val="24"/>
          <w:vertAlign w:val="superscript"/>
        </w:rPr>
        <w:t>th</w:t>
      </w:r>
      <w:r>
        <w:rPr>
          <w:sz w:val="24"/>
        </w:rPr>
        <w:t>, 5pm-6pm, in person at UTAS’s Newnham, Sandy Bay or Cradle Coast campuses or via video link).</w:t>
      </w:r>
    </w:p>
    <w:p w:rsidR="006D627A" w:rsidRPr="00D05EA8" w:rsidRDefault="006D627A" w:rsidP="006D627A">
      <w:pPr>
        <w:pStyle w:val="NoSpacing"/>
        <w:rPr>
          <w:sz w:val="12"/>
          <w:szCs w:val="12"/>
        </w:rPr>
      </w:pPr>
    </w:p>
    <w:p w:rsidR="004801E7" w:rsidRPr="00A90FEE" w:rsidRDefault="004801E7" w:rsidP="004801E7">
      <w:pPr>
        <w:pStyle w:val="NoSpacing"/>
        <w:rPr>
          <w:sz w:val="8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801E7" w:rsidTr="00DE25BE">
        <w:tc>
          <w:tcPr>
            <w:tcW w:w="5000" w:type="pct"/>
          </w:tcPr>
          <w:p w:rsidR="004801E7" w:rsidRPr="006D627A" w:rsidRDefault="006D627A" w:rsidP="00DE25BE">
            <w:pPr>
              <w:pStyle w:val="NoSpacing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Name</w:t>
            </w:r>
            <w:r w:rsidR="004801E7" w:rsidRPr="006D627A">
              <w:rPr>
                <w:b/>
                <w:sz w:val="24"/>
                <w:szCs w:val="28"/>
              </w:rPr>
              <w:t>:</w:t>
            </w:r>
          </w:p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</w:p>
        </w:tc>
      </w:tr>
      <w:tr w:rsidR="004801E7" w:rsidTr="00DE25BE">
        <w:tc>
          <w:tcPr>
            <w:tcW w:w="5000" w:type="pct"/>
          </w:tcPr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  <w:r w:rsidRPr="006D627A">
              <w:rPr>
                <w:b/>
                <w:sz w:val="24"/>
                <w:szCs w:val="28"/>
              </w:rPr>
              <w:t>School:</w:t>
            </w:r>
          </w:p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</w:p>
        </w:tc>
      </w:tr>
      <w:tr w:rsidR="004801E7" w:rsidTr="00DE25BE">
        <w:tc>
          <w:tcPr>
            <w:tcW w:w="5000" w:type="pct"/>
          </w:tcPr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  <w:r w:rsidRPr="006D627A">
              <w:rPr>
                <w:b/>
                <w:sz w:val="24"/>
                <w:szCs w:val="28"/>
              </w:rPr>
              <w:t>Position:</w:t>
            </w:r>
          </w:p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</w:p>
        </w:tc>
      </w:tr>
      <w:tr w:rsidR="004801E7" w:rsidTr="00DE25BE">
        <w:tc>
          <w:tcPr>
            <w:tcW w:w="5000" w:type="pct"/>
          </w:tcPr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  <w:r w:rsidRPr="006D627A">
              <w:rPr>
                <w:b/>
                <w:sz w:val="24"/>
                <w:szCs w:val="28"/>
              </w:rPr>
              <w:t>Email:</w:t>
            </w:r>
          </w:p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</w:p>
        </w:tc>
      </w:tr>
      <w:tr w:rsidR="004801E7" w:rsidTr="00DE25BE">
        <w:tc>
          <w:tcPr>
            <w:tcW w:w="5000" w:type="pct"/>
          </w:tcPr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  <w:r w:rsidRPr="006D627A">
              <w:rPr>
                <w:b/>
                <w:sz w:val="24"/>
                <w:szCs w:val="28"/>
              </w:rPr>
              <w:t>Phone:</w:t>
            </w:r>
          </w:p>
          <w:p w:rsidR="004801E7" w:rsidRPr="006D627A" w:rsidRDefault="004801E7" w:rsidP="00DE25BE">
            <w:pPr>
              <w:pStyle w:val="NoSpacing"/>
              <w:rPr>
                <w:b/>
                <w:sz w:val="24"/>
                <w:szCs w:val="28"/>
              </w:rPr>
            </w:pPr>
          </w:p>
        </w:tc>
      </w:tr>
      <w:tr w:rsidR="004801E7" w:rsidTr="00425F28">
        <w:trPr>
          <w:trHeight w:val="1859"/>
        </w:trPr>
        <w:tc>
          <w:tcPr>
            <w:tcW w:w="5000" w:type="pct"/>
          </w:tcPr>
          <w:p w:rsidR="00D05EA8" w:rsidRPr="00D05EA8" w:rsidRDefault="00D05EA8" w:rsidP="00D05EA8">
            <w:pPr>
              <w:pStyle w:val="NoSpacing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Response to criteria </w:t>
            </w:r>
            <w:r w:rsidRPr="00D05EA8">
              <w:rPr>
                <w:sz w:val="24"/>
                <w:szCs w:val="28"/>
              </w:rPr>
              <w:t>(600 words maximum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D05EA8">
              <w:rPr>
                <w:sz w:val="24"/>
                <w:szCs w:val="28"/>
              </w:rPr>
              <w:t>– this box will expand to fit your response as you type)</w:t>
            </w:r>
            <w:r w:rsidRPr="00D05EA8">
              <w:rPr>
                <w:b/>
                <w:sz w:val="24"/>
                <w:szCs w:val="28"/>
              </w:rPr>
              <w:t>:</w:t>
            </w:r>
          </w:p>
        </w:tc>
      </w:tr>
    </w:tbl>
    <w:p w:rsidR="004801E7" w:rsidRPr="00A90FEE" w:rsidRDefault="004801E7" w:rsidP="004801E7">
      <w:pPr>
        <w:pStyle w:val="NoSpacing"/>
        <w:rPr>
          <w:sz w:val="4"/>
          <w:szCs w:val="4"/>
        </w:rPr>
      </w:pPr>
    </w:p>
    <w:p w:rsidR="004801E7" w:rsidRPr="00425F28" w:rsidRDefault="00EF4231" w:rsidP="00EF4231">
      <w:pPr>
        <w:pStyle w:val="NoSpacing"/>
        <w:numPr>
          <w:ilvl w:val="0"/>
          <w:numId w:val="2"/>
        </w:numPr>
        <w:rPr>
          <w:b/>
          <w:sz w:val="24"/>
          <w:szCs w:val="14"/>
        </w:rPr>
      </w:pPr>
      <w:r w:rsidRPr="00425F28">
        <w:rPr>
          <w:b/>
          <w:sz w:val="24"/>
          <w:szCs w:val="14"/>
        </w:rPr>
        <w:t>I am aware that this bursary covers the $725 full conference registration cost. I understand that I will need to finance my own flights, transfers, food and accommodation</w:t>
      </w:r>
    </w:p>
    <w:p w:rsidR="00D05EA8" w:rsidRDefault="006D627A" w:rsidP="00425F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Signature of Applicant: _____________________________________________    Date: ________________ </w:t>
      </w:r>
      <w:r w:rsidRPr="00425F28">
        <w:rPr>
          <w:sz w:val="20"/>
          <w:szCs w:val="24"/>
        </w:rPr>
        <w:t>(An email from the applicant’s email address comprises an electronic signature</w:t>
      </w:r>
      <w:r w:rsidR="00425F28" w:rsidRPr="00425F28">
        <w:rPr>
          <w:sz w:val="20"/>
          <w:szCs w:val="24"/>
        </w:rPr>
        <w:t xml:space="preserve"> and agreement of the above statement</w:t>
      </w:r>
      <w:r w:rsidRPr="00425F28">
        <w:rPr>
          <w:sz w:val="20"/>
          <w:szCs w:val="24"/>
        </w:rPr>
        <w:t>).</w:t>
      </w:r>
    </w:p>
    <w:p w:rsidR="006D627A" w:rsidRPr="00ED0DD8" w:rsidRDefault="006D627A" w:rsidP="004801E7">
      <w:pPr>
        <w:pStyle w:val="NoSpacing"/>
        <w:rPr>
          <w:sz w:val="12"/>
          <w:szCs w:val="24"/>
        </w:rPr>
      </w:pPr>
    </w:p>
    <w:p w:rsidR="00374014" w:rsidRPr="006D627A" w:rsidRDefault="004801E7" w:rsidP="004801E7">
      <w:pPr>
        <w:pStyle w:val="NoSpacing"/>
        <w:rPr>
          <w:sz w:val="24"/>
          <w:szCs w:val="28"/>
        </w:rPr>
      </w:pPr>
      <w:r w:rsidRPr="006D627A">
        <w:rPr>
          <w:sz w:val="24"/>
          <w:szCs w:val="28"/>
        </w:rPr>
        <w:t xml:space="preserve">Applications are due by </w:t>
      </w:r>
      <w:r w:rsidR="00D05EA8" w:rsidRPr="00D05EA8">
        <w:rPr>
          <w:b/>
          <w:sz w:val="24"/>
          <w:szCs w:val="28"/>
        </w:rPr>
        <w:t>6pm on</w:t>
      </w:r>
      <w:r w:rsidR="00D05EA8">
        <w:rPr>
          <w:sz w:val="24"/>
          <w:szCs w:val="28"/>
        </w:rPr>
        <w:t xml:space="preserve"> </w:t>
      </w:r>
      <w:r w:rsidR="00D05EA8" w:rsidRPr="00D05EA8">
        <w:rPr>
          <w:b/>
          <w:sz w:val="24"/>
          <w:szCs w:val="28"/>
        </w:rPr>
        <w:t>May 24</w:t>
      </w:r>
      <w:r w:rsidR="00D05EA8" w:rsidRPr="00D05EA8">
        <w:rPr>
          <w:b/>
          <w:sz w:val="24"/>
          <w:szCs w:val="28"/>
          <w:vertAlign w:val="superscript"/>
        </w:rPr>
        <w:t>th</w:t>
      </w:r>
      <w:r w:rsidR="00D05EA8" w:rsidRPr="00D05EA8">
        <w:rPr>
          <w:b/>
          <w:sz w:val="24"/>
          <w:szCs w:val="28"/>
        </w:rPr>
        <w:t xml:space="preserve"> 2018</w:t>
      </w:r>
      <w:r w:rsidRPr="006D627A">
        <w:rPr>
          <w:sz w:val="24"/>
          <w:szCs w:val="28"/>
        </w:rPr>
        <w:t xml:space="preserve">. </w:t>
      </w:r>
      <w:r w:rsidR="00ED0DD8">
        <w:rPr>
          <w:sz w:val="24"/>
          <w:szCs w:val="28"/>
        </w:rPr>
        <w:t>Return</w:t>
      </w:r>
      <w:r w:rsidRPr="006D627A">
        <w:rPr>
          <w:sz w:val="24"/>
          <w:szCs w:val="28"/>
        </w:rPr>
        <w:t xml:space="preserve"> completed forms to </w:t>
      </w:r>
      <w:r w:rsidR="006D627A">
        <w:rPr>
          <w:sz w:val="24"/>
          <w:szCs w:val="28"/>
        </w:rPr>
        <w:t>MAT President</w:t>
      </w:r>
      <w:r w:rsidR="00D05EA8">
        <w:rPr>
          <w:sz w:val="24"/>
          <w:szCs w:val="28"/>
        </w:rPr>
        <w:t>, Mr.</w:t>
      </w:r>
      <w:r w:rsidR="006D627A">
        <w:rPr>
          <w:sz w:val="24"/>
          <w:szCs w:val="28"/>
        </w:rPr>
        <w:t xml:space="preserve"> </w:t>
      </w:r>
      <w:r w:rsidRPr="006D627A">
        <w:rPr>
          <w:sz w:val="24"/>
          <w:szCs w:val="28"/>
        </w:rPr>
        <w:t>Brett Stephenson (</w:t>
      </w:r>
      <w:hyperlink r:id="rId7" w:history="1">
        <w:r w:rsidRPr="006D627A">
          <w:rPr>
            <w:rStyle w:val="Hyperlink"/>
            <w:sz w:val="24"/>
            <w:szCs w:val="28"/>
          </w:rPr>
          <w:t>bstephenson@gyc.tas.edu.au</w:t>
        </w:r>
      </w:hyperlink>
      <w:r w:rsidRPr="006D627A">
        <w:rPr>
          <w:sz w:val="24"/>
          <w:szCs w:val="28"/>
        </w:rPr>
        <w:t>)</w:t>
      </w:r>
      <w:r w:rsidR="00D05EA8">
        <w:rPr>
          <w:sz w:val="24"/>
          <w:szCs w:val="28"/>
        </w:rPr>
        <w:t>,</w:t>
      </w:r>
      <w:r w:rsidR="00ED0DD8">
        <w:rPr>
          <w:sz w:val="24"/>
          <w:szCs w:val="28"/>
        </w:rPr>
        <w:t xml:space="preserve"> via email</w:t>
      </w:r>
      <w:r w:rsidRPr="006D627A">
        <w:rPr>
          <w:sz w:val="24"/>
          <w:szCs w:val="28"/>
        </w:rPr>
        <w:t xml:space="preserve">. </w:t>
      </w:r>
      <w:r w:rsidR="006D627A" w:rsidRPr="006D627A">
        <w:rPr>
          <w:sz w:val="24"/>
          <w:szCs w:val="28"/>
        </w:rPr>
        <w:t>Hard copies</w:t>
      </w:r>
      <w:r w:rsidRPr="006D627A">
        <w:rPr>
          <w:sz w:val="24"/>
          <w:szCs w:val="28"/>
        </w:rPr>
        <w:t xml:space="preserve"> should be scanned/photographed and emailed as an attachment. All applications will receive an email receipt; ple</w:t>
      </w:r>
      <w:r w:rsidR="00ED0DD8">
        <w:rPr>
          <w:sz w:val="24"/>
          <w:szCs w:val="28"/>
        </w:rPr>
        <w:t xml:space="preserve">ase notify Brett Stephenson </w:t>
      </w:r>
      <w:r w:rsidRPr="006D627A">
        <w:rPr>
          <w:sz w:val="24"/>
          <w:szCs w:val="28"/>
        </w:rPr>
        <w:t>if you have not rec</w:t>
      </w:r>
      <w:r w:rsidR="006D627A">
        <w:rPr>
          <w:sz w:val="24"/>
          <w:szCs w:val="28"/>
        </w:rPr>
        <w:t xml:space="preserve">eived a </w:t>
      </w:r>
      <w:r w:rsidRPr="006D627A">
        <w:rPr>
          <w:sz w:val="24"/>
          <w:szCs w:val="28"/>
        </w:rPr>
        <w:t>receipt within 48 hours.</w:t>
      </w:r>
      <w:r w:rsidR="00ED0DD8">
        <w:rPr>
          <w:sz w:val="24"/>
          <w:szCs w:val="28"/>
        </w:rPr>
        <w:t xml:space="preserve"> </w:t>
      </w:r>
      <w:r w:rsidR="00E74696">
        <w:rPr>
          <w:sz w:val="24"/>
          <w:szCs w:val="28"/>
        </w:rPr>
        <w:t>Bursary</w:t>
      </w:r>
      <w:r w:rsidR="00ED0DD8">
        <w:rPr>
          <w:sz w:val="24"/>
          <w:szCs w:val="28"/>
        </w:rPr>
        <w:t xml:space="preserve"> recipients will be announced within two weeks of the application due date. MAT’s decision is final</w:t>
      </w:r>
      <w:r w:rsidR="00D05EA8">
        <w:rPr>
          <w:sz w:val="24"/>
          <w:szCs w:val="28"/>
        </w:rPr>
        <w:t xml:space="preserve"> and will be based on each applicant’s response to the criteria</w:t>
      </w:r>
      <w:r w:rsidR="00ED0DD8">
        <w:rPr>
          <w:sz w:val="24"/>
          <w:szCs w:val="28"/>
        </w:rPr>
        <w:t>; no further corr</w:t>
      </w:r>
      <w:r w:rsidR="00D05EA8">
        <w:rPr>
          <w:sz w:val="24"/>
          <w:szCs w:val="28"/>
        </w:rPr>
        <w:t>espondence will be entered into.</w:t>
      </w:r>
    </w:p>
    <w:sectPr w:rsidR="00374014" w:rsidRPr="006D627A" w:rsidSect="00480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0FF7"/>
    <w:multiLevelType w:val="hybridMultilevel"/>
    <w:tmpl w:val="545A7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2766"/>
    <w:multiLevelType w:val="hybridMultilevel"/>
    <w:tmpl w:val="739825EC"/>
    <w:lvl w:ilvl="0" w:tplc="A1F6D0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E7"/>
    <w:rsid w:val="00374014"/>
    <w:rsid w:val="00425F28"/>
    <w:rsid w:val="004801E7"/>
    <w:rsid w:val="006D627A"/>
    <w:rsid w:val="00883F32"/>
    <w:rsid w:val="00D05EA8"/>
    <w:rsid w:val="00E74696"/>
    <w:rsid w:val="00ED0DD8"/>
    <w:rsid w:val="00E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BF2B1-6C13-42BD-8562-48E08E3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1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801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801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1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tephenson@gyc.tas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simanational.ning.com/program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Emily R</dc:creator>
  <cp:keywords/>
  <dc:description/>
  <cp:lastModifiedBy>Peterson, Emily R</cp:lastModifiedBy>
  <cp:revision>6</cp:revision>
  <dcterms:created xsi:type="dcterms:W3CDTF">2017-08-29T09:55:00Z</dcterms:created>
  <dcterms:modified xsi:type="dcterms:W3CDTF">2018-04-14T05:36:00Z</dcterms:modified>
</cp:coreProperties>
</file>